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F4CF" w14:textId="47247885" w:rsidR="00A92755" w:rsidRPr="00676B26" w:rsidRDefault="00A92755" w:rsidP="00676B26">
      <w:pPr>
        <w:spacing w:line="252" w:lineRule="auto"/>
        <w:ind w:left="-98"/>
        <w:rPr>
          <w:rFonts w:eastAsia="Times New Roman" w:cstheme="minorHAnsi"/>
          <w:b/>
          <w:bCs/>
          <w:color w:val="1B2840" w:themeColor="accent1"/>
          <w:sz w:val="40"/>
          <w:szCs w:val="40"/>
        </w:rPr>
      </w:pPr>
      <w:r w:rsidRPr="00676B26">
        <w:rPr>
          <w:rFonts w:eastAsia="Times New Roman" w:cstheme="minorHAnsi"/>
          <w:b/>
          <w:bCs/>
          <w:color w:val="1B2840" w:themeColor="accent1"/>
          <w:sz w:val="40"/>
          <w:szCs w:val="40"/>
        </w:rPr>
        <w:t>Gaining insight from Inpatient Falls: Example of learning from an inpatient fall</w:t>
      </w:r>
    </w:p>
    <w:p w14:paraId="3EB15F0F" w14:textId="5BFF0584" w:rsidR="00A92755" w:rsidRPr="009C2413" w:rsidRDefault="00A92755">
      <w:pPr>
        <w:rPr>
          <w:b/>
          <w:bCs/>
          <w:color w:val="1B2840" w:themeColor="accent1"/>
          <w:sz w:val="32"/>
          <w:szCs w:val="32"/>
        </w:rPr>
      </w:pPr>
      <w:r w:rsidRPr="009C2413">
        <w:rPr>
          <w:b/>
          <w:bCs/>
          <w:color w:val="1B2840" w:themeColor="accent1"/>
          <w:sz w:val="32"/>
          <w:szCs w:val="32"/>
        </w:rPr>
        <w:t>A</w:t>
      </w:r>
      <w:r w:rsidR="008F20B1" w:rsidRPr="009C2413">
        <w:rPr>
          <w:b/>
          <w:bCs/>
          <w:color w:val="1B2840" w:themeColor="accent1"/>
          <w:sz w:val="32"/>
          <w:szCs w:val="32"/>
        </w:rPr>
        <w:t>fter a</w:t>
      </w:r>
      <w:r w:rsidRPr="009C2413">
        <w:rPr>
          <w:b/>
          <w:bCs/>
          <w:color w:val="1B2840" w:themeColor="accent1"/>
          <w:sz w:val="32"/>
          <w:szCs w:val="32"/>
        </w:rPr>
        <w:t>n inpatient fall:</w:t>
      </w:r>
    </w:p>
    <w:p w14:paraId="079495B0" w14:textId="771A7F76" w:rsidR="004A1216" w:rsidRDefault="00A92755" w:rsidP="00A92755">
      <w:pPr>
        <w:ind w:hanging="993"/>
      </w:pPr>
      <w:r>
        <w:rPr>
          <w:noProof/>
        </w:rPr>
        <w:drawing>
          <wp:inline distT="0" distB="0" distL="0" distR="0" wp14:anchorId="4E98BE10" wp14:editId="0E92A6CE">
            <wp:extent cx="7040428" cy="6656522"/>
            <wp:effectExtent l="19050" t="0" r="27305" b="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01E651A" w14:textId="667FD182" w:rsidR="006E6EC2" w:rsidRDefault="006E6EC2" w:rsidP="00A92755">
      <w:pPr>
        <w:ind w:hanging="851"/>
      </w:pPr>
    </w:p>
    <w:sectPr w:rsidR="006E6EC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1A81" w14:textId="77777777" w:rsidR="009C2413" w:rsidRDefault="009C2413" w:rsidP="009C2413">
      <w:pPr>
        <w:spacing w:after="0" w:line="240" w:lineRule="auto"/>
      </w:pPr>
      <w:r>
        <w:separator/>
      </w:r>
    </w:p>
  </w:endnote>
  <w:endnote w:type="continuationSeparator" w:id="0">
    <w:p w14:paraId="3FC55026" w14:textId="77777777" w:rsidR="009C2413" w:rsidRDefault="009C2413" w:rsidP="009C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A8893" w14:textId="77777777" w:rsidR="009C2413" w:rsidRDefault="009C2413" w:rsidP="009C2413">
      <w:pPr>
        <w:spacing w:after="0" w:line="240" w:lineRule="auto"/>
      </w:pPr>
      <w:r>
        <w:separator/>
      </w:r>
    </w:p>
  </w:footnote>
  <w:footnote w:type="continuationSeparator" w:id="0">
    <w:p w14:paraId="05B96E97" w14:textId="77777777" w:rsidR="009C2413" w:rsidRDefault="009C2413" w:rsidP="009C2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A5B7" w14:textId="7493B313" w:rsidR="009C2413" w:rsidRDefault="009C2413">
    <w:pPr>
      <w:pStyle w:val="Header"/>
    </w:pPr>
    <w:r>
      <w:rPr>
        <w:noProof/>
      </w:rPr>
      <w:drawing>
        <wp:anchor distT="0" distB="0" distL="114300" distR="114300" simplePos="0" relativeHeight="251660288" behindDoc="0" locked="0" layoutInCell="1" allowOverlap="1" wp14:anchorId="2783B342" wp14:editId="6B61E998">
          <wp:simplePos x="0" y="0"/>
          <wp:positionH relativeFrom="column">
            <wp:posOffset>4443730</wp:posOffset>
          </wp:positionH>
          <wp:positionV relativeFrom="paragraph">
            <wp:posOffset>-1086485</wp:posOffset>
          </wp:positionV>
          <wp:extent cx="2908300" cy="1698625"/>
          <wp:effectExtent l="0" t="0" r="0" b="0"/>
          <wp:wrapNone/>
          <wp:docPr id="8" name="Picture 8" descr="A blue and black background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black background with a green line&#10;&#10;Description automatically generated"/>
                  <pic:cNvPicPr>
                    <a:picLocks noChangeAspect="1"/>
                  </pic:cNvPicPr>
                </pic:nvPicPr>
                <pic:blipFill>
                  <a:blip r:embed="rId1"/>
                  <a:stretch>
                    <a:fillRect/>
                  </a:stretch>
                </pic:blipFill>
                <pic:spPr>
                  <a:xfrm rot="21000000">
                    <a:off x="0" y="0"/>
                    <a:ext cx="2908300" cy="169862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0CBCAE79" wp14:editId="1E1ADE9C">
              <wp:simplePos x="0" y="0"/>
              <wp:positionH relativeFrom="column">
                <wp:posOffset>-908050</wp:posOffset>
              </wp:positionH>
              <wp:positionV relativeFrom="paragraph">
                <wp:posOffset>-462280</wp:posOffset>
              </wp:positionV>
              <wp:extent cx="7562850" cy="609600"/>
              <wp:effectExtent l="0" t="0" r="0" b="0"/>
              <wp:wrapNone/>
              <wp:docPr id="4" name="Rectangle 4"/>
              <wp:cNvGraphicFramePr/>
              <a:graphic xmlns:a="http://schemas.openxmlformats.org/drawingml/2006/main">
                <a:graphicData uri="http://schemas.microsoft.com/office/word/2010/wordprocessingShape">
                  <wps:wsp>
                    <wps:cNvSpPr/>
                    <wps:spPr>
                      <a:xfrm>
                        <a:off x="0" y="0"/>
                        <a:ext cx="7562850" cy="609600"/>
                      </a:xfrm>
                      <a:prstGeom prst="rect">
                        <a:avLst/>
                      </a:prstGeom>
                      <a:gradFill>
                        <a:gsLst>
                          <a:gs pos="73000">
                            <a:srgbClr val="89E3BC"/>
                          </a:gs>
                          <a:gs pos="100000">
                            <a:schemeClr val="accent3"/>
                          </a:gs>
                          <a:gs pos="49000">
                            <a:srgbClr val="9BE8C7"/>
                          </a:gs>
                          <a:gs pos="15000">
                            <a:schemeClr val="bg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5DCFBB" id="Rectangle 4" o:spid="_x0000_s1026" style="position:absolute;margin-left:-71.5pt;margin-top:-36.4pt;width:595.5pt;height: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" fillcolor="white [3212]" stroked="f" strokeweight="1pt">
              <v:fill color2="#59d8a1 [3206]" angle="90" colors="0 white;9830f white;32113f #9be8c7;47841f #89e3bc" focus="100%" type="gradient">
                <o:fill v:ext="view" type="gradientUnscaled"/>
              </v:fill>
            </v:rect>
          </w:pict>
        </mc:Fallback>
      </mc:AlternateContent>
    </w:r>
    <w:r>
      <w:rPr>
        <w:noProof/>
      </w:rPr>
      <w:drawing>
        <wp:anchor distT="0" distB="0" distL="114300" distR="114300" simplePos="0" relativeHeight="251661312" behindDoc="0" locked="0" layoutInCell="1" allowOverlap="1" wp14:anchorId="1C768C5D" wp14:editId="5EE55538">
          <wp:simplePos x="0" y="0"/>
          <wp:positionH relativeFrom="column">
            <wp:posOffset>-812800</wp:posOffset>
          </wp:positionH>
          <wp:positionV relativeFrom="paragraph">
            <wp:posOffset>-353695</wp:posOffset>
          </wp:positionV>
          <wp:extent cx="3314065" cy="467995"/>
          <wp:effectExtent l="0" t="0" r="0"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a:picLocks noChangeAspect="1"/>
                  </pic:cNvPicPr>
                </pic:nvPicPr>
                <pic:blipFill>
                  <a:blip r:embed="rId2"/>
                  <a:stretch>
                    <a:fillRect/>
                  </a:stretch>
                </pic:blipFill>
                <pic:spPr>
                  <a:xfrm>
                    <a:off x="0" y="0"/>
                    <a:ext cx="3314065" cy="4679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16"/>
    <w:rsid w:val="00305CF2"/>
    <w:rsid w:val="004A1216"/>
    <w:rsid w:val="00676B26"/>
    <w:rsid w:val="006E6EC2"/>
    <w:rsid w:val="008F20B1"/>
    <w:rsid w:val="009C2413"/>
    <w:rsid w:val="00A92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E840"/>
  <w15:chartTrackingRefBased/>
  <w15:docId w15:val="{10915E1E-00B7-44EF-A9A6-967B106D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413"/>
  </w:style>
  <w:style w:type="paragraph" w:styleId="Footer">
    <w:name w:val="footer"/>
    <w:basedOn w:val="Normal"/>
    <w:link w:val="FooterChar"/>
    <w:uiPriority w:val="99"/>
    <w:unhideWhenUsed/>
    <w:rsid w:val="009C2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5B9EC7-F027-428B-9BC6-F24917E42412}" type="doc">
      <dgm:prSet loTypeId="urn:microsoft.com/office/officeart/2005/8/layout/vProcess5" loCatId="process" qsTypeId="urn:microsoft.com/office/officeart/2005/8/quickstyle/simple1" qsCatId="simple" csTypeId="urn:microsoft.com/office/officeart/2005/8/colors/colorful3" csCatId="colorful" phldr="1"/>
      <dgm:spPr/>
      <dgm:t>
        <a:bodyPr/>
        <a:lstStyle/>
        <a:p>
          <a:endParaRPr lang="en-GB"/>
        </a:p>
      </dgm:t>
    </dgm:pt>
    <dgm:pt modelId="{FF6E69AE-B983-4135-869D-9BBF2B4078AC}">
      <dgm:prSet phldrT="[Text]"/>
      <dgm:spPr/>
      <dgm:t>
        <a:bodyPr/>
        <a:lstStyle/>
        <a:p>
          <a:endParaRPr lang="en-GB"/>
        </a:p>
      </dgm:t>
    </dgm:pt>
    <dgm:pt modelId="{5A26E145-F295-4930-9928-1FD7E074F777}" type="parTrans" cxnId="{4839A330-952C-4DB1-880B-91ED9842C83E}">
      <dgm:prSet/>
      <dgm:spPr/>
      <dgm:t>
        <a:bodyPr/>
        <a:lstStyle/>
        <a:p>
          <a:endParaRPr lang="en-GB"/>
        </a:p>
      </dgm:t>
    </dgm:pt>
    <dgm:pt modelId="{45F57EA6-6504-46FF-8AEE-B3EAE379E9EC}" type="sibTrans" cxnId="{4839A330-952C-4DB1-880B-91ED9842C83E}">
      <dgm:prSet/>
      <dgm:spPr/>
      <dgm:t>
        <a:bodyPr/>
        <a:lstStyle/>
        <a:p>
          <a:endParaRPr lang="en-GB"/>
        </a:p>
      </dgm:t>
    </dgm:pt>
    <dgm:pt modelId="{4E217D10-1A97-4CE7-BF49-AFBF8E9D4484}">
      <dgm:prSet phldrT="[Text]" phldr="1"/>
      <dgm:spPr/>
      <dgm:t>
        <a:bodyPr/>
        <a:lstStyle/>
        <a:p>
          <a:endParaRPr lang="en-GB"/>
        </a:p>
      </dgm:t>
    </dgm:pt>
    <dgm:pt modelId="{070A9234-B3D5-4517-A2B5-FB70D9235841}" type="parTrans" cxnId="{D432FCF2-642E-4C7C-8548-A31C4397D921}">
      <dgm:prSet/>
      <dgm:spPr/>
      <dgm:t>
        <a:bodyPr/>
        <a:lstStyle/>
        <a:p>
          <a:endParaRPr lang="en-GB"/>
        </a:p>
      </dgm:t>
    </dgm:pt>
    <dgm:pt modelId="{699F69CE-5D22-49A3-8092-C34DFD5E595E}" type="sibTrans" cxnId="{D432FCF2-642E-4C7C-8548-A31C4397D921}">
      <dgm:prSet/>
      <dgm:spPr/>
      <dgm:t>
        <a:bodyPr/>
        <a:lstStyle/>
        <a:p>
          <a:endParaRPr lang="en-GB"/>
        </a:p>
      </dgm:t>
    </dgm:pt>
    <dgm:pt modelId="{1D8D0C2B-1FF1-4BE7-8964-341714B2EAD6}">
      <dgm:prSet/>
      <dgm:spPr/>
      <dgm:t>
        <a:bodyPr/>
        <a:lstStyle/>
        <a:p>
          <a:r>
            <a:rPr lang="en-GB" b="0" dirty="0"/>
            <a:t>Underake</a:t>
          </a:r>
          <a:r>
            <a:rPr lang="en-GB" b="1" dirty="0"/>
            <a:t> post fall management</a:t>
          </a:r>
          <a:r>
            <a:rPr lang="en-GB" dirty="0"/>
            <a:t> following NICE Quality Standards 86. Consider pathway suggested in ‘</a:t>
          </a:r>
          <a:r>
            <a:rPr lang="en-US" b="0" i="0" dirty="0"/>
            <a:t>Supporting best and safe practice in post-fall management in inpatient settings’ and ask the patient what happened. </a:t>
          </a:r>
          <a:endParaRPr lang="en-GB" dirty="0"/>
        </a:p>
      </dgm:t>
    </dgm:pt>
    <dgm:pt modelId="{0128A337-841A-4D64-82E6-A91091212C89}" type="parTrans" cxnId="{29C6FC12-4869-4EF4-A7CB-96201FD75E2B}">
      <dgm:prSet/>
      <dgm:spPr/>
      <dgm:t>
        <a:bodyPr/>
        <a:lstStyle/>
        <a:p>
          <a:endParaRPr lang="en-GB"/>
        </a:p>
      </dgm:t>
    </dgm:pt>
    <dgm:pt modelId="{71E7103B-C077-4721-9AE4-84CC10A37AA8}" type="sibTrans" cxnId="{29C6FC12-4869-4EF4-A7CB-96201FD75E2B}">
      <dgm:prSet/>
      <dgm:spPr/>
      <dgm:t>
        <a:bodyPr/>
        <a:lstStyle/>
        <a:p>
          <a:endParaRPr lang="en-GB"/>
        </a:p>
      </dgm:t>
    </dgm:pt>
    <dgm:pt modelId="{62D2592F-59A1-4379-9921-0A1AA278C124}">
      <dgm:prSet/>
      <dgm:spPr/>
      <dgm:t>
        <a:bodyPr/>
        <a:lstStyle/>
        <a:p>
          <a:r>
            <a:rPr lang="en-GB" b="1" dirty="0"/>
            <a:t>Debrief after the fall </a:t>
          </a:r>
          <a:r>
            <a:rPr lang="en-GB" b="0" dirty="0"/>
            <a:t>using a swam huddle or hot debrief approach. Ensure staff present at the </a:t>
          </a:r>
          <a:r>
            <a:rPr lang="en-GB" dirty="0"/>
            <a:t>time of the fall have had the opportunity to give their account and get support. Consider using the ‘Hot Debrief Form’ to record this and file it in the medical notes/upload to electronic health records. Enter the fall into your organisation’s reporting database and e</a:t>
          </a:r>
          <a:r>
            <a:rPr lang="en-US" b="0" i="0" dirty="0"/>
            <a:t>nsure the patient / family have been updated.</a:t>
          </a:r>
          <a:endParaRPr lang="en-GB" dirty="0"/>
        </a:p>
      </dgm:t>
    </dgm:pt>
    <dgm:pt modelId="{E1FEC1FC-5C01-46ED-A15E-46DD1B78FF55}" type="parTrans" cxnId="{54143F35-ECBD-4243-8AFC-1140F15E922D}">
      <dgm:prSet/>
      <dgm:spPr/>
      <dgm:t>
        <a:bodyPr/>
        <a:lstStyle/>
        <a:p>
          <a:endParaRPr lang="en-GB"/>
        </a:p>
      </dgm:t>
    </dgm:pt>
    <dgm:pt modelId="{9A1C61E3-EC90-48F0-B607-BF7A9CDF068F}" type="sibTrans" cxnId="{54143F35-ECBD-4243-8AFC-1140F15E922D}">
      <dgm:prSet/>
      <dgm:spPr/>
      <dgm:t>
        <a:bodyPr/>
        <a:lstStyle/>
        <a:p>
          <a:endParaRPr lang="en-GB"/>
        </a:p>
      </dgm:t>
    </dgm:pt>
    <dgm:pt modelId="{B322F211-D1BF-4610-AA08-85F861CE95F8}">
      <dgm:prSet/>
      <dgm:spPr/>
      <dgm:t>
        <a:bodyPr/>
        <a:lstStyle/>
        <a:p>
          <a:r>
            <a:rPr lang="en-GB" b="1" dirty="0"/>
            <a:t>Decide if Multidisciplinary Post-Fall Review is indicated</a:t>
          </a:r>
          <a:endParaRPr lang="en-GB" dirty="0"/>
        </a:p>
      </dgm:t>
    </dgm:pt>
    <dgm:pt modelId="{F29C56FD-5398-4250-86B7-12958C836919}" type="parTrans" cxnId="{C4005D28-1462-4A25-B793-B446DAE8563E}">
      <dgm:prSet/>
      <dgm:spPr/>
      <dgm:t>
        <a:bodyPr/>
        <a:lstStyle/>
        <a:p>
          <a:endParaRPr lang="en-GB"/>
        </a:p>
      </dgm:t>
    </dgm:pt>
    <dgm:pt modelId="{CD26768B-D9D8-46A3-AD2B-386AC2987B4B}" type="sibTrans" cxnId="{C4005D28-1462-4A25-B793-B446DAE8563E}">
      <dgm:prSet/>
      <dgm:spPr/>
      <dgm:t>
        <a:bodyPr/>
        <a:lstStyle/>
        <a:p>
          <a:endParaRPr lang="en-GB"/>
        </a:p>
      </dgm:t>
    </dgm:pt>
    <dgm:pt modelId="{07B61867-C6FC-4EA0-B1F2-A4A89033E4F3}">
      <dgm:prSet/>
      <dgm:spPr/>
      <dgm:t>
        <a:bodyPr/>
        <a:lstStyle/>
        <a:p>
          <a:r>
            <a:rPr lang="en-GB" b="1" dirty="0"/>
            <a:t>Multidisciplinary post-fall review </a:t>
          </a:r>
          <a:r>
            <a:rPr lang="en-GB" b="0" dirty="0"/>
            <a:t>using an After-Action Review or Structured Post-Fall Review approach, to be undertaken</a:t>
          </a:r>
          <a:r>
            <a:rPr lang="en-GB" dirty="0"/>
            <a:t> within 5 working days of the fall and facilitated by  a suitably qualified senior nurse / medic / AHP / falls coordinator / safety lead. Include a plan for patient / family feedback.</a:t>
          </a:r>
        </a:p>
      </dgm:t>
    </dgm:pt>
    <dgm:pt modelId="{8CF7A500-ADF8-41D1-A355-56A6689B11F8}" type="parTrans" cxnId="{9AA8F84A-6613-41F0-BBDC-208620444D81}">
      <dgm:prSet/>
      <dgm:spPr/>
      <dgm:t>
        <a:bodyPr/>
        <a:lstStyle/>
        <a:p>
          <a:endParaRPr lang="en-GB"/>
        </a:p>
      </dgm:t>
    </dgm:pt>
    <dgm:pt modelId="{B0979F4D-C8DA-48D5-825A-05F2FCF8CAA7}" type="sibTrans" cxnId="{9AA8F84A-6613-41F0-BBDC-208620444D81}">
      <dgm:prSet/>
      <dgm:spPr/>
      <dgm:t>
        <a:bodyPr/>
        <a:lstStyle/>
        <a:p>
          <a:endParaRPr lang="en-GB"/>
        </a:p>
      </dgm:t>
    </dgm:pt>
    <dgm:pt modelId="{F862A3AE-1684-4E5E-83A2-2B161F5E5DC8}">
      <dgm:prSet/>
      <dgm:spPr/>
      <dgm:t>
        <a:bodyPr/>
        <a:lstStyle/>
        <a:p>
          <a:r>
            <a:rPr lang="en-GB" b="1" dirty="0"/>
            <a:t>Conclusions and actions </a:t>
          </a:r>
          <a:r>
            <a:rPr lang="en-GB" dirty="0"/>
            <a:t>from the post-fall review uploaded onto reporting system, filed in the notes and reported to safety leads. Ward manager, with the MDT, takes responsibility for local actions identified. Important insights and examples of good practice should be shared within the organisation. Organisational falls coordination group and executive sponsor to be informed of the review. Feedback to the patient and family recorded in the notes. </a:t>
          </a:r>
        </a:p>
      </dgm:t>
    </dgm:pt>
    <dgm:pt modelId="{937E08EC-8DF9-430B-AE95-3502F4D1228B}" type="parTrans" cxnId="{82945CAE-3C37-4FD3-87D5-8563EA27876F}">
      <dgm:prSet/>
      <dgm:spPr/>
      <dgm:t>
        <a:bodyPr/>
        <a:lstStyle/>
        <a:p>
          <a:endParaRPr lang="en-GB"/>
        </a:p>
      </dgm:t>
    </dgm:pt>
    <dgm:pt modelId="{1AC1EBC5-2D14-4293-805C-E606CE976943}" type="sibTrans" cxnId="{82945CAE-3C37-4FD3-87D5-8563EA27876F}">
      <dgm:prSet/>
      <dgm:spPr/>
      <dgm:t>
        <a:bodyPr/>
        <a:lstStyle/>
        <a:p>
          <a:endParaRPr lang="en-GB"/>
        </a:p>
      </dgm:t>
    </dgm:pt>
    <dgm:pt modelId="{C2407B22-9B81-4F72-9FDC-45DB0CE4015C}" type="pres">
      <dgm:prSet presAssocID="{305B9EC7-F027-428B-9BC6-F24917E42412}" presName="outerComposite" presStyleCnt="0">
        <dgm:presLayoutVars>
          <dgm:chMax val="5"/>
          <dgm:dir/>
          <dgm:resizeHandles val="exact"/>
        </dgm:presLayoutVars>
      </dgm:prSet>
      <dgm:spPr/>
    </dgm:pt>
    <dgm:pt modelId="{ECC08690-A05A-4663-821B-747E2C69E0F7}" type="pres">
      <dgm:prSet presAssocID="{305B9EC7-F027-428B-9BC6-F24917E42412}" presName="dummyMaxCanvas" presStyleCnt="0">
        <dgm:presLayoutVars/>
      </dgm:prSet>
      <dgm:spPr/>
    </dgm:pt>
    <dgm:pt modelId="{44AA2BBC-794E-4562-A17A-7B4B2195B23F}" type="pres">
      <dgm:prSet presAssocID="{305B9EC7-F027-428B-9BC6-F24917E42412}" presName="FiveNodes_1" presStyleLbl="node1" presStyleIdx="0" presStyleCnt="5" custLinFactNeighborX="-1211" custLinFactNeighborY="-4498">
        <dgm:presLayoutVars>
          <dgm:bulletEnabled val="1"/>
        </dgm:presLayoutVars>
      </dgm:prSet>
      <dgm:spPr/>
    </dgm:pt>
    <dgm:pt modelId="{97A73C30-CADE-4A16-8F3E-BA86A93BAFBF}" type="pres">
      <dgm:prSet presAssocID="{305B9EC7-F027-428B-9BC6-F24917E42412}" presName="FiveNodes_2" presStyleLbl="node1" presStyleIdx="1" presStyleCnt="5">
        <dgm:presLayoutVars>
          <dgm:bulletEnabled val="1"/>
        </dgm:presLayoutVars>
      </dgm:prSet>
      <dgm:spPr/>
    </dgm:pt>
    <dgm:pt modelId="{B56B4EC2-F478-4FEC-8779-8C655D53AB63}" type="pres">
      <dgm:prSet presAssocID="{305B9EC7-F027-428B-9BC6-F24917E42412}" presName="FiveNodes_3" presStyleLbl="node1" presStyleIdx="2" presStyleCnt="5">
        <dgm:presLayoutVars>
          <dgm:bulletEnabled val="1"/>
        </dgm:presLayoutVars>
      </dgm:prSet>
      <dgm:spPr/>
    </dgm:pt>
    <dgm:pt modelId="{36F4D1C1-DC51-4156-9B55-D59D96FC49EE}" type="pres">
      <dgm:prSet presAssocID="{305B9EC7-F027-428B-9BC6-F24917E42412}" presName="FiveNodes_4" presStyleLbl="node1" presStyleIdx="3" presStyleCnt="5">
        <dgm:presLayoutVars>
          <dgm:bulletEnabled val="1"/>
        </dgm:presLayoutVars>
      </dgm:prSet>
      <dgm:spPr/>
    </dgm:pt>
    <dgm:pt modelId="{4A2374C2-0BE1-429C-955B-821F017AB231}" type="pres">
      <dgm:prSet presAssocID="{305B9EC7-F027-428B-9BC6-F24917E42412}" presName="FiveNodes_5" presStyleLbl="node1" presStyleIdx="4" presStyleCnt="5" custLinFactNeighborX="998" custLinFactNeighborY="-5919">
        <dgm:presLayoutVars>
          <dgm:bulletEnabled val="1"/>
        </dgm:presLayoutVars>
      </dgm:prSet>
      <dgm:spPr/>
    </dgm:pt>
    <dgm:pt modelId="{C2828EB4-00D8-4798-A043-3BFB4CC0CD1D}" type="pres">
      <dgm:prSet presAssocID="{305B9EC7-F027-428B-9BC6-F24917E42412}" presName="FiveConn_1-2" presStyleLbl="fgAccFollowNode1" presStyleIdx="0" presStyleCnt="4">
        <dgm:presLayoutVars>
          <dgm:bulletEnabled val="1"/>
        </dgm:presLayoutVars>
      </dgm:prSet>
      <dgm:spPr/>
    </dgm:pt>
    <dgm:pt modelId="{93D3033E-308A-4527-90F6-A9C4C91AC168}" type="pres">
      <dgm:prSet presAssocID="{305B9EC7-F027-428B-9BC6-F24917E42412}" presName="FiveConn_2-3" presStyleLbl="fgAccFollowNode1" presStyleIdx="1" presStyleCnt="4">
        <dgm:presLayoutVars>
          <dgm:bulletEnabled val="1"/>
        </dgm:presLayoutVars>
      </dgm:prSet>
      <dgm:spPr/>
    </dgm:pt>
    <dgm:pt modelId="{DCA2AD07-18CB-4671-B081-B9DB98F608B4}" type="pres">
      <dgm:prSet presAssocID="{305B9EC7-F027-428B-9BC6-F24917E42412}" presName="FiveConn_3-4" presStyleLbl="fgAccFollowNode1" presStyleIdx="2" presStyleCnt="4">
        <dgm:presLayoutVars>
          <dgm:bulletEnabled val="1"/>
        </dgm:presLayoutVars>
      </dgm:prSet>
      <dgm:spPr/>
    </dgm:pt>
    <dgm:pt modelId="{AF26E278-F62F-4750-8483-51DDD1D64391}" type="pres">
      <dgm:prSet presAssocID="{305B9EC7-F027-428B-9BC6-F24917E42412}" presName="FiveConn_4-5" presStyleLbl="fgAccFollowNode1" presStyleIdx="3" presStyleCnt="4">
        <dgm:presLayoutVars>
          <dgm:bulletEnabled val="1"/>
        </dgm:presLayoutVars>
      </dgm:prSet>
      <dgm:spPr/>
    </dgm:pt>
    <dgm:pt modelId="{13673D60-AC52-47CE-A5DF-B4B4CBFEAED8}" type="pres">
      <dgm:prSet presAssocID="{305B9EC7-F027-428B-9BC6-F24917E42412}" presName="FiveNodes_1_text" presStyleLbl="node1" presStyleIdx="4" presStyleCnt="5">
        <dgm:presLayoutVars>
          <dgm:bulletEnabled val="1"/>
        </dgm:presLayoutVars>
      </dgm:prSet>
      <dgm:spPr/>
    </dgm:pt>
    <dgm:pt modelId="{CDF1A9AC-127E-4193-A007-F5B0E3D2B920}" type="pres">
      <dgm:prSet presAssocID="{305B9EC7-F027-428B-9BC6-F24917E42412}" presName="FiveNodes_2_text" presStyleLbl="node1" presStyleIdx="4" presStyleCnt="5">
        <dgm:presLayoutVars>
          <dgm:bulletEnabled val="1"/>
        </dgm:presLayoutVars>
      </dgm:prSet>
      <dgm:spPr/>
    </dgm:pt>
    <dgm:pt modelId="{A331CC55-A85D-4DBA-AEF1-2C41756156FD}" type="pres">
      <dgm:prSet presAssocID="{305B9EC7-F027-428B-9BC6-F24917E42412}" presName="FiveNodes_3_text" presStyleLbl="node1" presStyleIdx="4" presStyleCnt="5">
        <dgm:presLayoutVars>
          <dgm:bulletEnabled val="1"/>
        </dgm:presLayoutVars>
      </dgm:prSet>
      <dgm:spPr/>
    </dgm:pt>
    <dgm:pt modelId="{758F4A48-D58B-41A5-AEC1-B0551E884C8A}" type="pres">
      <dgm:prSet presAssocID="{305B9EC7-F027-428B-9BC6-F24917E42412}" presName="FiveNodes_4_text" presStyleLbl="node1" presStyleIdx="4" presStyleCnt="5">
        <dgm:presLayoutVars>
          <dgm:bulletEnabled val="1"/>
        </dgm:presLayoutVars>
      </dgm:prSet>
      <dgm:spPr/>
    </dgm:pt>
    <dgm:pt modelId="{5B03557A-E762-4D29-B292-84EA88D0C57A}" type="pres">
      <dgm:prSet presAssocID="{305B9EC7-F027-428B-9BC6-F24917E42412}" presName="FiveNodes_5_text" presStyleLbl="node1" presStyleIdx="4" presStyleCnt="5">
        <dgm:presLayoutVars>
          <dgm:bulletEnabled val="1"/>
        </dgm:presLayoutVars>
      </dgm:prSet>
      <dgm:spPr/>
    </dgm:pt>
  </dgm:ptLst>
  <dgm:cxnLst>
    <dgm:cxn modelId="{AC910501-86AE-4C81-9A18-D0EEC0FE4A1B}" type="presOf" srcId="{B0979F4D-C8DA-48D5-825A-05F2FCF8CAA7}" destId="{AF26E278-F62F-4750-8483-51DDD1D64391}" srcOrd="0" destOrd="0" presId="urn:microsoft.com/office/officeart/2005/8/layout/vProcess5"/>
    <dgm:cxn modelId="{50449C0C-18F8-4A93-B51E-8B6AA11773F8}" type="presOf" srcId="{F862A3AE-1684-4E5E-83A2-2B161F5E5DC8}" destId="{5B03557A-E762-4D29-B292-84EA88D0C57A}" srcOrd="1" destOrd="0" presId="urn:microsoft.com/office/officeart/2005/8/layout/vProcess5"/>
    <dgm:cxn modelId="{CBDF1E0F-5A63-4A04-B294-49ED49AF075F}" type="presOf" srcId="{62D2592F-59A1-4379-9921-0A1AA278C124}" destId="{CDF1A9AC-127E-4193-A007-F5B0E3D2B920}" srcOrd="1" destOrd="0" presId="urn:microsoft.com/office/officeart/2005/8/layout/vProcess5"/>
    <dgm:cxn modelId="{29C6FC12-4869-4EF4-A7CB-96201FD75E2B}" srcId="{305B9EC7-F027-428B-9BC6-F24917E42412}" destId="{1D8D0C2B-1FF1-4BE7-8964-341714B2EAD6}" srcOrd="0" destOrd="0" parTransId="{0128A337-841A-4D64-82E6-A91091212C89}" sibTransId="{71E7103B-C077-4721-9AE4-84CC10A37AA8}"/>
    <dgm:cxn modelId="{5E13DF14-F454-4899-BFA7-6C56051F76CA}" type="presOf" srcId="{9A1C61E3-EC90-48F0-B607-BF7A9CDF068F}" destId="{93D3033E-308A-4527-90F6-A9C4C91AC168}" srcOrd="0" destOrd="0" presId="urn:microsoft.com/office/officeart/2005/8/layout/vProcess5"/>
    <dgm:cxn modelId="{3F850425-9E0D-4E82-801C-7DEA812A0304}" type="presOf" srcId="{07B61867-C6FC-4EA0-B1F2-A4A89033E4F3}" destId="{36F4D1C1-DC51-4156-9B55-D59D96FC49EE}" srcOrd="0" destOrd="0" presId="urn:microsoft.com/office/officeart/2005/8/layout/vProcess5"/>
    <dgm:cxn modelId="{C4005D28-1462-4A25-B793-B446DAE8563E}" srcId="{305B9EC7-F027-428B-9BC6-F24917E42412}" destId="{B322F211-D1BF-4610-AA08-85F861CE95F8}" srcOrd="2" destOrd="0" parTransId="{F29C56FD-5398-4250-86B7-12958C836919}" sibTransId="{CD26768B-D9D8-46A3-AD2B-386AC2987B4B}"/>
    <dgm:cxn modelId="{7BC52C2B-7FEF-476D-867E-8E6AD9A04056}" type="presOf" srcId="{1D8D0C2B-1FF1-4BE7-8964-341714B2EAD6}" destId="{44AA2BBC-794E-4562-A17A-7B4B2195B23F}" srcOrd="0" destOrd="0" presId="urn:microsoft.com/office/officeart/2005/8/layout/vProcess5"/>
    <dgm:cxn modelId="{4839A330-952C-4DB1-880B-91ED9842C83E}" srcId="{305B9EC7-F027-428B-9BC6-F24917E42412}" destId="{FF6E69AE-B983-4135-869D-9BBF2B4078AC}" srcOrd="5" destOrd="0" parTransId="{5A26E145-F295-4930-9928-1FD7E074F777}" sibTransId="{45F57EA6-6504-46FF-8AEE-B3EAE379E9EC}"/>
    <dgm:cxn modelId="{54143F35-ECBD-4243-8AFC-1140F15E922D}" srcId="{305B9EC7-F027-428B-9BC6-F24917E42412}" destId="{62D2592F-59A1-4379-9921-0A1AA278C124}" srcOrd="1" destOrd="0" parTransId="{E1FEC1FC-5C01-46ED-A15E-46DD1B78FF55}" sibTransId="{9A1C61E3-EC90-48F0-B607-BF7A9CDF068F}"/>
    <dgm:cxn modelId="{855FA967-7252-4F72-BD74-AA73FD04F4A3}" type="presOf" srcId="{B322F211-D1BF-4610-AA08-85F861CE95F8}" destId="{A331CC55-A85D-4DBA-AEF1-2C41756156FD}" srcOrd="1" destOrd="0" presId="urn:microsoft.com/office/officeart/2005/8/layout/vProcess5"/>
    <dgm:cxn modelId="{367E2C6A-E9D8-468F-9637-4D623AB8B7DC}" type="presOf" srcId="{1D8D0C2B-1FF1-4BE7-8964-341714B2EAD6}" destId="{13673D60-AC52-47CE-A5DF-B4B4CBFEAED8}" srcOrd="1" destOrd="0" presId="urn:microsoft.com/office/officeart/2005/8/layout/vProcess5"/>
    <dgm:cxn modelId="{9AA8F84A-6613-41F0-BBDC-208620444D81}" srcId="{305B9EC7-F027-428B-9BC6-F24917E42412}" destId="{07B61867-C6FC-4EA0-B1F2-A4A89033E4F3}" srcOrd="3" destOrd="0" parTransId="{8CF7A500-ADF8-41D1-A355-56A6689B11F8}" sibTransId="{B0979F4D-C8DA-48D5-825A-05F2FCF8CAA7}"/>
    <dgm:cxn modelId="{C012AE7A-0857-487E-A98F-423C9852BE30}" type="presOf" srcId="{CD26768B-D9D8-46A3-AD2B-386AC2987B4B}" destId="{DCA2AD07-18CB-4671-B081-B9DB98F608B4}" srcOrd="0" destOrd="0" presId="urn:microsoft.com/office/officeart/2005/8/layout/vProcess5"/>
    <dgm:cxn modelId="{BA7C7092-F56C-4230-A63F-6EAE3CE50D81}" type="presOf" srcId="{F862A3AE-1684-4E5E-83A2-2B161F5E5DC8}" destId="{4A2374C2-0BE1-429C-955B-821F017AB231}" srcOrd="0" destOrd="0" presId="urn:microsoft.com/office/officeart/2005/8/layout/vProcess5"/>
    <dgm:cxn modelId="{95D2199C-6525-48A5-AB7C-89EBEDC0D627}" type="presOf" srcId="{71E7103B-C077-4721-9AE4-84CC10A37AA8}" destId="{C2828EB4-00D8-4798-A043-3BFB4CC0CD1D}" srcOrd="0" destOrd="0" presId="urn:microsoft.com/office/officeart/2005/8/layout/vProcess5"/>
    <dgm:cxn modelId="{82945CAE-3C37-4FD3-87D5-8563EA27876F}" srcId="{305B9EC7-F027-428B-9BC6-F24917E42412}" destId="{F862A3AE-1684-4E5E-83A2-2B161F5E5DC8}" srcOrd="4" destOrd="0" parTransId="{937E08EC-8DF9-430B-AE95-3502F4D1228B}" sibTransId="{1AC1EBC5-2D14-4293-805C-E606CE976943}"/>
    <dgm:cxn modelId="{5C66D3B7-6804-400D-A065-59603BF01B66}" type="presOf" srcId="{305B9EC7-F027-428B-9BC6-F24917E42412}" destId="{C2407B22-9B81-4F72-9FDC-45DB0CE4015C}" srcOrd="0" destOrd="0" presId="urn:microsoft.com/office/officeart/2005/8/layout/vProcess5"/>
    <dgm:cxn modelId="{54F950E3-0133-4EEA-B716-575F3EAD824C}" type="presOf" srcId="{B322F211-D1BF-4610-AA08-85F861CE95F8}" destId="{B56B4EC2-F478-4FEC-8779-8C655D53AB63}" srcOrd="0" destOrd="0" presId="urn:microsoft.com/office/officeart/2005/8/layout/vProcess5"/>
    <dgm:cxn modelId="{148AD4EC-9E53-4932-B350-FFBFE3230011}" type="presOf" srcId="{07B61867-C6FC-4EA0-B1F2-A4A89033E4F3}" destId="{758F4A48-D58B-41A5-AEC1-B0551E884C8A}" srcOrd="1" destOrd="0" presId="urn:microsoft.com/office/officeart/2005/8/layout/vProcess5"/>
    <dgm:cxn modelId="{57E1CBED-BBA1-4E2B-A35F-8A9479653D51}" type="presOf" srcId="{62D2592F-59A1-4379-9921-0A1AA278C124}" destId="{97A73C30-CADE-4A16-8F3E-BA86A93BAFBF}" srcOrd="0" destOrd="0" presId="urn:microsoft.com/office/officeart/2005/8/layout/vProcess5"/>
    <dgm:cxn modelId="{D432FCF2-642E-4C7C-8548-A31C4397D921}" srcId="{305B9EC7-F027-428B-9BC6-F24917E42412}" destId="{4E217D10-1A97-4CE7-BF49-AFBF8E9D4484}" srcOrd="6" destOrd="0" parTransId="{070A9234-B3D5-4517-A2B5-FB70D9235841}" sibTransId="{699F69CE-5D22-49A3-8092-C34DFD5E595E}"/>
    <dgm:cxn modelId="{D835191D-D86A-483C-8CC2-0DD8184B48AE}" type="presParOf" srcId="{C2407B22-9B81-4F72-9FDC-45DB0CE4015C}" destId="{ECC08690-A05A-4663-821B-747E2C69E0F7}" srcOrd="0" destOrd="0" presId="urn:microsoft.com/office/officeart/2005/8/layout/vProcess5"/>
    <dgm:cxn modelId="{41F58D89-E795-43DD-AE23-B568CE81F10A}" type="presParOf" srcId="{C2407B22-9B81-4F72-9FDC-45DB0CE4015C}" destId="{44AA2BBC-794E-4562-A17A-7B4B2195B23F}" srcOrd="1" destOrd="0" presId="urn:microsoft.com/office/officeart/2005/8/layout/vProcess5"/>
    <dgm:cxn modelId="{B0C68572-DBC0-4B0D-82DB-8E683DE2120B}" type="presParOf" srcId="{C2407B22-9B81-4F72-9FDC-45DB0CE4015C}" destId="{97A73C30-CADE-4A16-8F3E-BA86A93BAFBF}" srcOrd="2" destOrd="0" presId="urn:microsoft.com/office/officeart/2005/8/layout/vProcess5"/>
    <dgm:cxn modelId="{4409ABC4-CA36-4426-9B43-91299048BDFE}" type="presParOf" srcId="{C2407B22-9B81-4F72-9FDC-45DB0CE4015C}" destId="{B56B4EC2-F478-4FEC-8779-8C655D53AB63}" srcOrd="3" destOrd="0" presId="urn:microsoft.com/office/officeart/2005/8/layout/vProcess5"/>
    <dgm:cxn modelId="{52B4D989-6B19-4C4C-8CCE-12256852E662}" type="presParOf" srcId="{C2407B22-9B81-4F72-9FDC-45DB0CE4015C}" destId="{36F4D1C1-DC51-4156-9B55-D59D96FC49EE}" srcOrd="4" destOrd="0" presId="urn:microsoft.com/office/officeart/2005/8/layout/vProcess5"/>
    <dgm:cxn modelId="{707C4070-3CDE-4393-A756-C94D3E7E5001}" type="presParOf" srcId="{C2407B22-9B81-4F72-9FDC-45DB0CE4015C}" destId="{4A2374C2-0BE1-429C-955B-821F017AB231}" srcOrd="5" destOrd="0" presId="urn:microsoft.com/office/officeart/2005/8/layout/vProcess5"/>
    <dgm:cxn modelId="{F42FFB0A-D381-48E7-A9AA-033892A7FDCA}" type="presParOf" srcId="{C2407B22-9B81-4F72-9FDC-45DB0CE4015C}" destId="{C2828EB4-00D8-4798-A043-3BFB4CC0CD1D}" srcOrd="6" destOrd="0" presId="urn:microsoft.com/office/officeart/2005/8/layout/vProcess5"/>
    <dgm:cxn modelId="{591AFA73-5095-4278-80BA-9F6D7CC8181B}" type="presParOf" srcId="{C2407B22-9B81-4F72-9FDC-45DB0CE4015C}" destId="{93D3033E-308A-4527-90F6-A9C4C91AC168}" srcOrd="7" destOrd="0" presId="urn:microsoft.com/office/officeart/2005/8/layout/vProcess5"/>
    <dgm:cxn modelId="{C3A31319-2478-447A-B2DE-E0C1C720C4E0}" type="presParOf" srcId="{C2407B22-9B81-4F72-9FDC-45DB0CE4015C}" destId="{DCA2AD07-18CB-4671-B081-B9DB98F608B4}" srcOrd="8" destOrd="0" presId="urn:microsoft.com/office/officeart/2005/8/layout/vProcess5"/>
    <dgm:cxn modelId="{6E2BD137-3139-43F7-8EFB-FD3FD8A95BA9}" type="presParOf" srcId="{C2407B22-9B81-4F72-9FDC-45DB0CE4015C}" destId="{AF26E278-F62F-4750-8483-51DDD1D64391}" srcOrd="9" destOrd="0" presId="urn:microsoft.com/office/officeart/2005/8/layout/vProcess5"/>
    <dgm:cxn modelId="{1E3D6586-3114-4444-A84E-EF681092B659}" type="presParOf" srcId="{C2407B22-9B81-4F72-9FDC-45DB0CE4015C}" destId="{13673D60-AC52-47CE-A5DF-B4B4CBFEAED8}" srcOrd="10" destOrd="0" presId="urn:microsoft.com/office/officeart/2005/8/layout/vProcess5"/>
    <dgm:cxn modelId="{C0C14535-1A68-46F2-B72A-D0CBF990812B}" type="presParOf" srcId="{C2407B22-9B81-4F72-9FDC-45DB0CE4015C}" destId="{CDF1A9AC-127E-4193-A007-F5B0E3D2B920}" srcOrd="11" destOrd="0" presId="urn:microsoft.com/office/officeart/2005/8/layout/vProcess5"/>
    <dgm:cxn modelId="{8D2C9D73-8645-4021-BEF3-3C676F36E360}" type="presParOf" srcId="{C2407B22-9B81-4F72-9FDC-45DB0CE4015C}" destId="{A331CC55-A85D-4DBA-AEF1-2C41756156FD}" srcOrd="12" destOrd="0" presId="urn:microsoft.com/office/officeart/2005/8/layout/vProcess5"/>
    <dgm:cxn modelId="{5C8DFAD5-54A5-4DCD-A5E0-BF41C526BBAD}" type="presParOf" srcId="{C2407B22-9B81-4F72-9FDC-45DB0CE4015C}" destId="{758F4A48-D58B-41A5-AEC1-B0551E884C8A}" srcOrd="13" destOrd="0" presId="urn:microsoft.com/office/officeart/2005/8/layout/vProcess5"/>
    <dgm:cxn modelId="{B3B41E84-2344-4942-99B2-E813F4E2998B}" type="presParOf" srcId="{C2407B22-9B81-4F72-9FDC-45DB0CE4015C}" destId="{5B03557A-E762-4D29-B292-84EA88D0C57A}" srcOrd="14" destOrd="0" presId="urn:microsoft.com/office/officeart/2005/8/layout/vProcess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AA2BBC-794E-4562-A17A-7B4B2195B23F}">
      <dsp:nvSpPr>
        <dsp:cNvPr id="0" name=""/>
        <dsp:cNvSpPr/>
      </dsp:nvSpPr>
      <dsp:spPr>
        <a:xfrm>
          <a:off x="0" y="0"/>
          <a:ext cx="5421129" cy="1198173"/>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b="0" kern="1200" dirty="0"/>
            <a:t>Underake</a:t>
          </a:r>
          <a:r>
            <a:rPr lang="en-GB" sz="1000" b="1" kern="1200" dirty="0"/>
            <a:t> post fall management</a:t>
          </a:r>
          <a:r>
            <a:rPr lang="en-GB" sz="1000" kern="1200" dirty="0"/>
            <a:t> following NICE Quality Standards 86. Consider pathway suggested in ‘</a:t>
          </a:r>
          <a:r>
            <a:rPr lang="en-US" sz="1000" b="0" i="0" kern="1200" dirty="0"/>
            <a:t>Supporting best and safe practice in post-fall management in inpatient settings’ and ask the patient what happened. </a:t>
          </a:r>
          <a:endParaRPr lang="en-GB" sz="1000" kern="1200" dirty="0"/>
        </a:p>
      </dsp:txBody>
      <dsp:txXfrm>
        <a:off x="35093" y="35093"/>
        <a:ext cx="3988020" cy="1127987"/>
      </dsp:txXfrm>
    </dsp:sp>
    <dsp:sp modelId="{97A73C30-CADE-4A16-8F3E-BA86A93BAFBF}">
      <dsp:nvSpPr>
        <dsp:cNvPr id="0" name=""/>
        <dsp:cNvSpPr/>
      </dsp:nvSpPr>
      <dsp:spPr>
        <a:xfrm>
          <a:off x="404824" y="1364587"/>
          <a:ext cx="5421129" cy="1198173"/>
        </a:xfrm>
        <a:prstGeom prst="roundRect">
          <a:avLst>
            <a:gd name="adj" fmla="val 10000"/>
          </a:avLst>
        </a:prstGeom>
        <a:solidFill>
          <a:schemeClr val="accent3">
            <a:hueOff val="-3981"/>
            <a:satOff val="96"/>
            <a:lumOff val="250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b="1" kern="1200" dirty="0"/>
            <a:t>Debrief after the fall </a:t>
          </a:r>
          <a:r>
            <a:rPr lang="en-GB" sz="1000" b="0" kern="1200" dirty="0"/>
            <a:t>using a swam huddle or hot debrief approach. Ensure staff present at the </a:t>
          </a:r>
          <a:r>
            <a:rPr lang="en-GB" sz="1000" kern="1200" dirty="0"/>
            <a:t>time of the fall have had the opportunity to give their account and get support. Consider using the ‘Hot Debrief Form’ to record this and file it in the medical notes/upload to electronic health records. Enter the fall into your organisation’s reporting database and e</a:t>
          </a:r>
          <a:r>
            <a:rPr lang="en-US" sz="1000" b="0" i="0" kern="1200" dirty="0"/>
            <a:t>nsure the patient / family have been updated.</a:t>
          </a:r>
          <a:endParaRPr lang="en-GB" sz="1000" kern="1200" dirty="0"/>
        </a:p>
      </dsp:txBody>
      <dsp:txXfrm>
        <a:off x="439917" y="1399680"/>
        <a:ext cx="4167305" cy="1127987"/>
      </dsp:txXfrm>
    </dsp:sp>
    <dsp:sp modelId="{B56B4EC2-F478-4FEC-8779-8C655D53AB63}">
      <dsp:nvSpPr>
        <dsp:cNvPr id="0" name=""/>
        <dsp:cNvSpPr/>
      </dsp:nvSpPr>
      <dsp:spPr>
        <a:xfrm>
          <a:off x="809649" y="2729174"/>
          <a:ext cx="5421129" cy="1198173"/>
        </a:xfrm>
        <a:prstGeom prst="roundRect">
          <a:avLst>
            <a:gd name="adj" fmla="val 10000"/>
          </a:avLst>
        </a:prstGeom>
        <a:solidFill>
          <a:schemeClr val="accent3">
            <a:hueOff val="-7963"/>
            <a:satOff val="192"/>
            <a:lumOff val="500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b="1" kern="1200" dirty="0"/>
            <a:t>Decide if Multidisciplinary Post-Fall Review is indicated</a:t>
          </a:r>
          <a:endParaRPr lang="en-GB" sz="1000" kern="1200" dirty="0"/>
        </a:p>
      </dsp:txBody>
      <dsp:txXfrm>
        <a:off x="844742" y="2764267"/>
        <a:ext cx="4167305" cy="1127987"/>
      </dsp:txXfrm>
    </dsp:sp>
    <dsp:sp modelId="{36F4D1C1-DC51-4156-9B55-D59D96FC49EE}">
      <dsp:nvSpPr>
        <dsp:cNvPr id="0" name=""/>
        <dsp:cNvSpPr/>
      </dsp:nvSpPr>
      <dsp:spPr>
        <a:xfrm>
          <a:off x="1214473" y="4093761"/>
          <a:ext cx="5421129" cy="1198173"/>
        </a:xfrm>
        <a:prstGeom prst="roundRect">
          <a:avLst>
            <a:gd name="adj" fmla="val 10000"/>
          </a:avLst>
        </a:prstGeom>
        <a:solidFill>
          <a:schemeClr val="accent3">
            <a:hueOff val="-11944"/>
            <a:satOff val="289"/>
            <a:lumOff val="750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b="1" kern="1200" dirty="0"/>
            <a:t>Multidisciplinary post-fall review </a:t>
          </a:r>
          <a:r>
            <a:rPr lang="en-GB" sz="1000" b="0" kern="1200" dirty="0"/>
            <a:t>using an After-Action Review or Structured Post-Fall Review approach, to be undertaken</a:t>
          </a:r>
          <a:r>
            <a:rPr lang="en-GB" sz="1000" kern="1200" dirty="0"/>
            <a:t> within 5 working days of the fall and facilitated by  a suitably qualified senior nurse / medic / AHP / falls coordinator / safety lead. Include a plan for patient / family feedback.</a:t>
          </a:r>
        </a:p>
      </dsp:txBody>
      <dsp:txXfrm>
        <a:off x="1249566" y="4128854"/>
        <a:ext cx="4167305" cy="1127987"/>
      </dsp:txXfrm>
    </dsp:sp>
    <dsp:sp modelId="{4A2374C2-0BE1-429C-955B-821F017AB231}">
      <dsp:nvSpPr>
        <dsp:cNvPr id="0" name=""/>
        <dsp:cNvSpPr/>
      </dsp:nvSpPr>
      <dsp:spPr>
        <a:xfrm>
          <a:off x="1619298" y="5387428"/>
          <a:ext cx="5421129" cy="1198173"/>
        </a:xfrm>
        <a:prstGeom prst="roundRect">
          <a:avLst>
            <a:gd name="adj" fmla="val 10000"/>
          </a:avLst>
        </a:prstGeom>
        <a:solidFill>
          <a:schemeClr val="accent3">
            <a:hueOff val="-15926"/>
            <a:satOff val="385"/>
            <a:lumOff val="1000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b="1" kern="1200" dirty="0"/>
            <a:t>Conclusions and actions </a:t>
          </a:r>
          <a:r>
            <a:rPr lang="en-GB" sz="1000" kern="1200" dirty="0"/>
            <a:t>from the post-fall review uploaded onto reporting system, filed in the notes and reported to safety leads. Ward manager, with the MDT, takes responsibility for local actions identified. Important insights and examples of good practice should be shared within the organisation. Organisational falls coordination group and executive sponsor to be informed of the review. Feedback to the patient and family recorded in the notes. </a:t>
          </a:r>
        </a:p>
      </dsp:txBody>
      <dsp:txXfrm>
        <a:off x="1654391" y="5422521"/>
        <a:ext cx="4167305" cy="1127987"/>
      </dsp:txXfrm>
    </dsp:sp>
    <dsp:sp modelId="{C2828EB4-00D8-4798-A043-3BFB4CC0CD1D}">
      <dsp:nvSpPr>
        <dsp:cNvPr id="0" name=""/>
        <dsp:cNvSpPr/>
      </dsp:nvSpPr>
      <dsp:spPr>
        <a:xfrm>
          <a:off x="4642316" y="875332"/>
          <a:ext cx="778813" cy="778813"/>
        </a:xfrm>
        <a:prstGeom prst="downArrow">
          <a:avLst>
            <a:gd name="adj1" fmla="val 55000"/>
            <a:gd name="adj2" fmla="val 45000"/>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endParaRPr lang="en-GB" sz="3500" kern="1200"/>
        </a:p>
      </dsp:txBody>
      <dsp:txXfrm>
        <a:off x="4817549" y="875332"/>
        <a:ext cx="428347" cy="586057"/>
      </dsp:txXfrm>
    </dsp:sp>
    <dsp:sp modelId="{93D3033E-308A-4527-90F6-A9C4C91AC168}">
      <dsp:nvSpPr>
        <dsp:cNvPr id="0" name=""/>
        <dsp:cNvSpPr/>
      </dsp:nvSpPr>
      <dsp:spPr>
        <a:xfrm>
          <a:off x="5047141" y="2239919"/>
          <a:ext cx="778813" cy="778813"/>
        </a:xfrm>
        <a:prstGeom prst="downArrow">
          <a:avLst>
            <a:gd name="adj1" fmla="val 55000"/>
            <a:gd name="adj2" fmla="val 45000"/>
          </a:avLst>
        </a:prstGeom>
        <a:solidFill>
          <a:schemeClr val="accent3">
            <a:tint val="40000"/>
            <a:alpha val="90000"/>
            <a:hueOff val="44050"/>
            <a:satOff val="1322"/>
            <a:lumOff val="691"/>
            <a:alphaOff val="0"/>
          </a:schemeClr>
        </a:solidFill>
        <a:ln w="12700" cap="flat" cmpd="sng" algn="ctr">
          <a:solidFill>
            <a:schemeClr val="accent3">
              <a:tint val="40000"/>
              <a:alpha val="90000"/>
              <a:hueOff val="44050"/>
              <a:satOff val="1322"/>
              <a:lumOff val="69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endParaRPr lang="en-GB" sz="3500" kern="1200"/>
        </a:p>
      </dsp:txBody>
      <dsp:txXfrm>
        <a:off x="5222374" y="2239919"/>
        <a:ext cx="428347" cy="586057"/>
      </dsp:txXfrm>
    </dsp:sp>
    <dsp:sp modelId="{DCA2AD07-18CB-4671-B081-B9DB98F608B4}">
      <dsp:nvSpPr>
        <dsp:cNvPr id="0" name=""/>
        <dsp:cNvSpPr/>
      </dsp:nvSpPr>
      <dsp:spPr>
        <a:xfrm>
          <a:off x="5451965" y="3584537"/>
          <a:ext cx="778813" cy="778813"/>
        </a:xfrm>
        <a:prstGeom prst="downArrow">
          <a:avLst>
            <a:gd name="adj1" fmla="val 55000"/>
            <a:gd name="adj2" fmla="val 45000"/>
          </a:avLst>
        </a:prstGeom>
        <a:solidFill>
          <a:schemeClr val="accent3">
            <a:tint val="40000"/>
            <a:alpha val="90000"/>
            <a:hueOff val="88101"/>
            <a:satOff val="2643"/>
            <a:lumOff val="1381"/>
            <a:alphaOff val="0"/>
          </a:schemeClr>
        </a:solidFill>
        <a:ln w="12700" cap="flat" cmpd="sng" algn="ctr">
          <a:solidFill>
            <a:schemeClr val="accent3">
              <a:tint val="40000"/>
              <a:alpha val="90000"/>
              <a:hueOff val="88101"/>
              <a:satOff val="2643"/>
              <a:lumOff val="138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endParaRPr lang="en-GB" sz="3500" kern="1200"/>
        </a:p>
      </dsp:txBody>
      <dsp:txXfrm>
        <a:off x="5627198" y="3584537"/>
        <a:ext cx="428347" cy="586057"/>
      </dsp:txXfrm>
    </dsp:sp>
    <dsp:sp modelId="{AF26E278-F62F-4750-8483-51DDD1D64391}">
      <dsp:nvSpPr>
        <dsp:cNvPr id="0" name=""/>
        <dsp:cNvSpPr/>
      </dsp:nvSpPr>
      <dsp:spPr>
        <a:xfrm>
          <a:off x="5856790" y="4962437"/>
          <a:ext cx="778813" cy="778813"/>
        </a:xfrm>
        <a:prstGeom prst="downArrow">
          <a:avLst>
            <a:gd name="adj1" fmla="val 55000"/>
            <a:gd name="adj2" fmla="val 45000"/>
          </a:avLst>
        </a:prstGeom>
        <a:solidFill>
          <a:schemeClr val="accent3">
            <a:tint val="40000"/>
            <a:alpha val="90000"/>
            <a:hueOff val="132151"/>
            <a:satOff val="3965"/>
            <a:lumOff val="2072"/>
            <a:alphaOff val="0"/>
          </a:schemeClr>
        </a:solidFill>
        <a:ln w="12700" cap="flat" cmpd="sng" algn="ctr">
          <a:solidFill>
            <a:schemeClr val="accent3">
              <a:tint val="40000"/>
              <a:alpha val="90000"/>
              <a:hueOff val="132151"/>
              <a:satOff val="3965"/>
              <a:lumOff val="207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450" tIns="44450" rIns="44450" bIns="44450" numCol="1" spcCol="1270" anchor="ctr" anchorCtr="0">
          <a:noAutofit/>
        </a:bodyPr>
        <a:lstStyle/>
        <a:p>
          <a:pPr marL="0" lvl="0" indent="0" algn="ctr" defTabSz="1555750">
            <a:lnSpc>
              <a:spcPct val="90000"/>
            </a:lnSpc>
            <a:spcBef>
              <a:spcPct val="0"/>
            </a:spcBef>
            <a:spcAft>
              <a:spcPct val="35000"/>
            </a:spcAft>
            <a:buNone/>
          </a:pPr>
          <a:endParaRPr lang="en-GB" sz="3500" kern="1200"/>
        </a:p>
      </dsp:txBody>
      <dsp:txXfrm>
        <a:off x="6032023" y="4962437"/>
        <a:ext cx="428347" cy="58605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24">
      <a:dk1>
        <a:srgbClr val="192834"/>
      </a:dk1>
      <a:lt1>
        <a:srgbClr val="FFFFFF"/>
      </a:lt1>
      <a:dk2>
        <a:srgbClr val="959FA1"/>
      </a:dk2>
      <a:lt2>
        <a:srgbClr val="D6D9D8"/>
      </a:lt2>
      <a:accent1>
        <a:srgbClr val="1B2840"/>
      </a:accent1>
      <a:accent2>
        <a:srgbClr val="CDF3E3"/>
      </a:accent2>
      <a:accent3>
        <a:srgbClr val="59D8A1"/>
      </a:accent3>
      <a:accent4>
        <a:srgbClr val="82E2B8"/>
      </a:accent4>
      <a:accent5>
        <a:srgbClr val="ACEBD0"/>
      </a:accent5>
      <a:accent6>
        <a:srgbClr val="CDF3E3"/>
      </a:accent6>
      <a:hlink>
        <a:srgbClr val="59D8A1"/>
      </a:hlink>
      <a:folHlink>
        <a:srgbClr val="959FA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Words>
  <Characters>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Whitney</dc:creator>
  <cp:keywords/>
  <dc:description/>
  <cp:lastModifiedBy>Ninma Sheshi</cp:lastModifiedBy>
  <cp:revision>2</cp:revision>
  <dcterms:created xsi:type="dcterms:W3CDTF">2023-11-02T21:23:00Z</dcterms:created>
  <dcterms:modified xsi:type="dcterms:W3CDTF">2023-11-02T21:23:00Z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fc4a01-7f7b-4691-9d43-2f4a072b53e8_Enabled">
    <vt:lpwstr>true</vt:lpwstr>
  </property>
  <property fmtid="{D5CDD505-2E9C-101B-9397-08002B2CF9AE}" pid="3" name="MSIP_Label_b7fc4a01-7f7b-4691-9d43-2f4a072b53e8_SetDate">
    <vt:lpwstr>2023-11-02T21:23:26Z</vt:lpwstr>
  </property>
  <property fmtid="{D5CDD505-2E9C-101B-9397-08002B2CF9AE}" pid="4" name="MSIP_Label_b7fc4a01-7f7b-4691-9d43-2f4a072b53e8_Method">
    <vt:lpwstr>Standard</vt:lpwstr>
  </property>
  <property fmtid="{D5CDD505-2E9C-101B-9397-08002B2CF9AE}" pid="5" name="MSIP_Label_b7fc4a01-7f7b-4691-9d43-2f4a072b53e8_Name">
    <vt:lpwstr>defa4170-0d19-0005-0004-bc88714345d2</vt:lpwstr>
  </property>
  <property fmtid="{D5CDD505-2E9C-101B-9397-08002B2CF9AE}" pid="6" name="MSIP_Label_b7fc4a01-7f7b-4691-9d43-2f4a072b53e8_SiteId">
    <vt:lpwstr>341342fd-7fcb-4aae-8c27-148d241df047</vt:lpwstr>
  </property>
  <property fmtid="{D5CDD505-2E9C-101B-9397-08002B2CF9AE}" pid="7" name="MSIP_Label_b7fc4a01-7f7b-4691-9d43-2f4a072b53e8_ActionId">
    <vt:lpwstr>e3f85479-05bd-4fa4-9a08-1c81938def24</vt:lpwstr>
  </property>
  <property fmtid="{D5CDD505-2E9C-101B-9397-08002B2CF9AE}" pid="8" name="MSIP_Label_b7fc4a01-7f7b-4691-9d43-2f4a072b53e8_ContentBits">
    <vt:lpwstr>0</vt:lpwstr>
  </property>
</Properties>
</file>